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314E" w14:textId="77777777" w:rsidR="00577A42" w:rsidRDefault="00577A42" w:rsidP="00577A42">
      <w:pPr>
        <w:rPr>
          <w:rFonts w:cs="Arial"/>
          <w:szCs w:val="20"/>
        </w:rPr>
      </w:pPr>
      <w:r w:rsidRPr="00B26601">
        <w:rPr>
          <w:rFonts w:cs="Arial"/>
          <w:b/>
          <w:bCs/>
          <w:szCs w:val="20"/>
        </w:rPr>
        <w:t>Who is this email for?</w:t>
      </w:r>
      <w:r w:rsidRPr="00B26601">
        <w:rPr>
          <w:rFonts w:cs="Arial"/>
          <w:szCs w:val="20"/>
        </w:rPr>
        <w:t xml:space="preserve"> </w:t>
      </w:r>
    </w:p>
    <w:p w14:paraId="40064EA2" w14:textId="467D992E" w:rsidR="00577A42" w:rsidRPr="00B26601" w:rsidRDefault="00577A42" w:rsidP="00577A42">
      <w:pPr>
        <w:rPr>
          <w:rFonts w:cs="Arial"/>
          <w:szCs w:val="20"/>
        </w:rPr>
      </w:pPr>
      <w:r w:rsidRPr="00B26601">
        <w:rPr>
          <w:rFonts w:cs="Arial"/>
          <w:szCs w:val="20"/>
        </w:rPr>
        <w:t xml:space="preserve">Clients in your database </w:t>
      </w:r>
      <w:r>
        <w:rPr>
          <w:rFonts w:cs="Arial"/>
          <w:szCs w:val="20"/>
        </w:rPr>
        <w:t xml:space="preserve">who may be </w:t>
      </w:r>
      <w:r w:rsidR="00274293">
        <w:rPr>
          <w:rFonts w:cs="Arial"/>
          <w:szCs w:val="20"/>
        </w:rPr>
        <w:t>in the market for their first home</w:t>
      </w:r>
      <w:r>
        <w:rPr>
          <w:rFonts w:cs="Arial"/>
          <w:szCs w:val="20"/>
        </w:rPr>
        <w:t xml:space="preserve"> and who</w:t>
      </w:r>
      <w:r w:rsidRPr="00B26601">
        <w:rPr>
          <w:rFonts w:cs="Arial"/>
          <w:szCs w:val="20"/>
        </w:rPr>
        <w:t xml:space="preserve"> you’ve received consent to send commercial electronic messages</w:t>
      </w:r>
      <w:r>
        <w:rPr>
          <w:rFonts w:cs="Arial"/>
          <w:szCs w:val="20"/>
        </w:rPr>
        <w:t>.</w:t>
      </w:r>
    </w:p>
    <w:p w14:paraId="4D0379C3" w14:textId="77777777" w:rsidR="00577A42" w:rsidRPr="000236AE" w:rsidRDefault="00577A42" w:rsidP="00577A42">
      <w:pPr>
        <w:pStyle w:val="paragraph"/>
        <w:spacing w:before="0" w:beforeAutospacing="0" w:after="0" w:afterAutospacing="0"/>
        <w:textAlignment w:val="baseline"/>
        <w:rPr>
          <w:rFonts w:ascii="Arial" w:hAnsi="Arial" w:cs="Arial"/>
          <w:b/>
          <w:bCs/>
          <w:sz w:val="20"/>
          <w:szCs w:val="20"/>
        </w:rPr>
      </w:pPr>
      <w:r w:rsidRPr="000236AE">
        <w:rPr>
          <w:rStyle w:val="normaltextrun"/>
          <w:rFonts w:ascii="Arial" w:eastAsiaTheme="majorEastAsia" w:hAnsi="Arial" w:cs="Arial"/>
          <w:b/>
          <w:bCs/>
          <w:sz w:val="20"/>
          <w:szCs w:val="20"/>
        </w:rPr>
        <w:t>Instructions to send the email</w:t>
      </w:r>
      <w:r w:rsidRPr="000236AE">
        <w:rPr>
          <w:rStyle w:val="eop"/>
          <w:rFonts w:ascii="Arial" w:eastAsiaTheme="majorEastAsia" w:hAnsi="Arial" w:cs="Arial"/>
          <w:b/>
          <w:bCs/>
          <w:sz w:val="20"/>
          <w:szCs w:val="20"/>
        </w:rPr>
        <w:t>:</w:t>
      </w:r>
      <w:r w:rsidRPr="000236AE">
        <w:rPr>
          <w:rStyle w:val="eop"/>
          <w:rFonts w:ascii="Arial" w:eastAsiaTheme="majorEastAsia" w:hAnsi="Arial" w:cs="Arial"/>
          <w:b/>
          <w:bCs/>
          <w:sz w:val="20"/>
          <w:szCs w:val="20"/>
        </w:rPr>
        <w:br/>
      </w:r>
    </w:p>
    <w:p w14:paraId="196310AC" w14:textId="77777777" w:rsidR="00577A42" w:rsidRPr="000236AE" w:rsidRDefault="00577A42" w:rsidP="00577A42">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sz w:val="20"/>
          <w:szCs w:val="20"/>
        </w:rPr>
      </w:pPr>
      <w:r w:rsidRPr="000236AE">
        <w:rPr>
          <w:rStyle w:val="normaltextrun"/>
          <w:rFonts w:ascii="Arial" w:eastAsiaTheme="majorEastAsia" w:hAnsi="Arial" w:cs="Arial"/>
          <w:sz w:val="20"/>
          <w:szCs w:val="20"/>
        </w:rPr>
        <w:t>Copy and paste the text below into your email system</w:t>
      </w:r>
      <w:r w:rsidRPr="000236AE">
        <w:rPr>
          <w:rStyle w:val="eop"/>
          <w:rFonts w:ascii="Arial" w:eastAsiaTheme="majorEastAsia" w:hAnsi="Arial" w:cs="Arial"/>
          <w:sz w:val="20"/>
          <w:szCs w:val="20"/>
        </w:rPr>
        <w:t> (please note there are two pages in this template)</w:t>
      </w:r>
    </w:p>
    <w:p w14:paraId="0883605E" w14:textId="77777777" w:rsidR="00577A42" w:rsidRPr="000236AE" w:rsidRDefault="00577A42" w:rsidP="00577A42">
      <w:pPr>
        <w:pStyle w:val="paragraph"/>
        <w:numPr>
          <w:ilvl w:val="0"/>
          <w:numId w:val="4"/>
        </w:numPr>
        <w:tabs>
          <w:tab w:val="clear" w:pos="720"/>
          <w:tab w:val="num" w:pos="-360"/>
        </w:tabs>
        <w:spacing w:before="0" w:beforeAutospacing="0" w:after="0" w:afterAutospacing="0"/>
        <w:ind w:left="0" w:firstLine="0"/>
        <w:textAlignment w:val="baseline"/>
        <w:rPr>
          <w:rFonts w:ascii="Arial" w:hAnsi="Arial" w:cs="Arial"/>
          <w:sz w:val="20"/>
          <w:szCs w:val="20"/>
        </w:rPr>
      </w:pPr>
      <w:r w:rsidRPr="000236AE">
        <w:rPr>
          <w:rStyle w:val="normaltextrun"/>
          <w:rFonts w:ascii="Arial" w:eastAsiaTheme="majorEastAsia" w:hAnsi="Arial" w:cs="Arial"/>
          <w:sz w:val="20"/>
          <w:szCs w:val="20"/>
        </w:rPr>
        <w:t xml:space="preserve">Replace any </w:t>
      </w:r>
      <w:r w:rsidRPr="000236AE">
        <w:rPr>
          <w:rStyle w:val="normaltextrun"/>
          <w:rFonts w:ascii="Arial" w:eastAsiaTheme="majorEastAsia" w:hAnsi="Arial" w:cs="Arial"/>
          <w:color w:val="FF0000"/>
          <w:sz w:val="20"/>
          <w:szCs w:val="20"/>
        </w:rPr>
        <w:t>red</w:t>
      </w:r>
      <w:r w:rsidRPr="000236AE">
        <w:rPr>
          <w:rStyle w:val="normaltextrun"/>
          <w:rFonts w:ascii="Arial" w:eastAsiaTheme="majorEastAsia" w:hAnsi="Arial" w:cs="Arial"/>
          <w:sz w:val="20"/>
          <w:szCs w:val="20"/>
        </w:rPr>
        <w:t xml:space="preserve"> font with the correct </w:t>
      </w:r>
      <w:proofErr w:type="gramStart"/>
      <w:r w:rsidRPr="000236AE">
        <w:rPr>
          <w:rStyle w:val="normaltextrun"/>
          <w:rFonts w:ascii="Arial" w:eastAsiaTheme="majorEastAsia" w:hAnsi="Arial" w:cs="Arial"/>
          <w:sz w:val="20"/>
          <w:szCs w:val="20"/>
        </w:rPr>
        <w:t>information</w:t>
      </w:r>
      <w:proofErr w:type="gramEnd"/>
      <w:r w:rsidRPr="000236AE">
        <w:rPr>
          <w:rStyle w:val="eop"/>
          <w:rFonts w:ascii="Arial" w:eastAsiaTheme="majorEastAsia" w:hAnsi="Arial" w:cs="Arial"/>
          <w:sz w:val="20"/>
          <w:szCs w:val="20"/>
        </w:rPr>
        <w:t> </w:t>
      </w:r>
    </w:p>
    <w:p w14:paraId="3314AD5F" w14:textId="77777777" w:rsidR="00577A42" w:rsidRPr="000236AE" w:rsidRDefault="00577A42" w:rsidP="00577A42">
      <w:pPr>
        <w:pStyle w:val="paragraph"/>
        <w:numPr>
          <w:ilvl w:val="0"/>
          <w:numId w:val="5"/>
        </w:numPr>
        <w:tabs>
          <w:tab w:val="clear" w:pos="720"/>
          <w:tab w:val="num" w:pos="-360"/>
        </w:tabs>
        <w:spacing w:before="0" w:beforeAutospacing="0" w:after="0" w:afterAutospacing="0"/>
        <w:ind w:left="0" w:firstLine="0"/>
        <w:textAlignment w:val="baseline"/>
        <w:rPr>
          <w:rFonts w:ascii="Arial" w:hAnsi="Arial" w:cs="Arial"/>
          <w:sz w:val="20"/>
          <w:szCs w:val="20"/>
        </w:rPr>
      </w:pPr>
      <w:r w:rsidRPr="000236AE">
        <w:rPr>
          <w:rStyle w:val="normaltextrun"/>
          <w:rFonts w:ascii="Arial" w:eastAsiaTheme="majorEastAsia" w:hAnsi="Arial" w:cs="Arial"/>
          <w:sz w:val="20"/>
          <w:szCs w:val="20"/>
        </w:rPr>
        <w:t xml:space="preserve">Add the email subject </w:t>
      </w:r>
      <w:proofErr w:type="gramStart"/>
      <w:r w:rsidRPr="000236AE">
        <w:rPr>
          <w:rStyle w:val="normaltextrun"/>
          <w:rFonts w:ascii="Arial" w:eastAsiaTheme="majorEastAsia" w:hAnsi="Arial" w:cs="Arial"/>
          <w:sz w:val="20"/>
          <w:szCs w:val="20"/>
        </w:rPr>
        <w:t>line</w:t>
      </w:r>
      <w:proofErr w:type="gramEnd"/>
      <w:r w:rsidRPr="000236AE">
        <w:rPr>
          <w:rStyle w:val="eop"/>
          <w:rFonts w:ascii="Arial" w:eastAsiaTheme="majorEastAsia" w:hAnsi="Arial" w:cs="Arial"/>
          <w:sz w:val="20"/>
          <w:szCs w:val="20"/>
        </w:rPr>
        <w:t> </w:t>
      </w:r>
    </w:p>
    <w:p w14:paraId="3B4BEA55" w14:textId="77777777" w:rsidR="00577A42" w:rsidRPr="000236AE" w:rsidRDefault="00577A42" w:rsidP="00577A42">
      <w:pPr>
        <w:pStyle w:val="paragraph"/>
        <w:numPr>
          <w:ilvl w:val="0"/>
          <w:numId w:val="6"/>
        </w:numPr>
        <w:pBdr>
          <w:bottom w:val="single" w:sz="12" w:space="1" w:color="auto"/>
        </w:pBdr>
        <w:tabs>
          <w:tab w:val="clear" w:pos="720"/>
          <w:tab w:val="num" w:pos="-360"/>
        </w:tabs>
        <w:spacing w:before="0" w:beforeAutospacing="0" w:after="0" w:afterAutospacing="0"/>
        <w:ind w:left="0" w:firstLine="0"/>
        <w:textAlignment w:val="baseline"/>
        <w:rPr>
          <w:rFonts w:ascii="Arial" w:hAnsi="Arial" w:cs="Arial"/>
          <w:sz w:val="20"/>
          <w:szCs w:val="20"/>
        </w:rPr>
      </w:pPr>
      <w:r w:rsidRPr="000236AE">
        <w:rPr>
          <w:rStyle w:val="normaltextrun"/>
          <w:rFonts w:ascii="Arial" w:eastAsiaTheme="majorEastAsia" w:hAnsi="Arial" w:cs="Arial"/>
          <w:sz w:val="20"/>
          <w:szCs w:val="20"/>
        </w:rPr>
        <w:t>Press ‘Send</w:t>
      </w:r>
      <w:r w:rsidRPr="000236AE">
        <w:rPr>
          <w:rStyle w:val="eop"/>
          <w:rFonts w:ascii="Arial" w:eastAsiaTheme="majorEastAsia" w:hAnsi="Arial" w:cs="Arial"/>
          <w:sz w:val="20"/>
          <w:szCs w:val="20"/>
        </w:rPr>
        <w:t>’</w:t>
      </w:r>
    </w:p>
    <w:p w14:paraId="6A698A08" w14:textId="77777777" w:rsidR="00577A42" w:rsidRDefault="00577A42" w:rsidP="00577A42">
      <w:pPr>
        <w:rPr>
          <w:b/>
          <w:bCs/>
        </w:rPr>
      </w:pPr>
    </w:p>
    <w:p w14:paraId="6DE135DC" w14:textId="4700FCD9" w:rsidR="00577A42" w:rsidRDefault="00577A42" w:rsidP="00577A42">
      <w:r w:rsidRPr="001A581E">
        <w:rPr>
          <w:b/>
          <w:bCs/>
        </w:rPr>
        <w:t>Subject line:</w:t>
      </w:r>
      <w:r>
        <w:t xml:space="preserve"> </w:t>
      </w:r>
      <w:r w:rsidR="000236AE">
        <w:t>Make your dream of homeownership a reality—</w:t>
      </w:r>
      <w:proofErr w:type="gramStart"/>
      <w:r w:rsidR="000236AE">
        <w:t>faster</w:t>
      </w:r>
      <w:proofErr w:type="gramEnd"/>
      <w:r w:rsidR="000236AE">
        <w:t xml:space="preserve"> </w:t>
      </w:r>
    </w:p>
    <w:p w14:paraId="73DC3AC5" w14:textId="77777777" w:rsidR="00577A42" w:rsidRDefault="00577A42" w:rsidP="00577A42">
      <w:r>
        <w:t xml:space="preserve">Dear </w:t>
      </w:r>
      <w:r w:rsidRPr="000070BD">
        <w:rPr>
          <w:color w:val="FF0000"/>
        </w:rPr>
        <w:t>[</w:t>
      </w:r>
      <w:r>
        <w:rPr>
          <w:color w:val="FF0000"/>
        </w:rPr>
        <w:t>Name</w:t>
      </w:r>
      <w:r w:rsidRPr="000070BD">
        <w:rPr>
          <w:color w:val="FF0000"/>
        </w:rPr>
        <w:t>]</w:t>
      </w:r>
      <w:r>
        <w:t>,</w:t>
      </w:r>
    </w:p>
    <w:p w14:paraId="62C78F86" w14:textId="782294B8" w:rsidR="00577A42" w:rsidRDefault="00577A42" w:rsidP="00577A42">
      <w:r>
        <w:t xml:space="preserve">Are you </w:t>
      </w:r>
      <w:r w:rsidR="001A2308">
        <w:t>trying to save for a down payment on your</w:t>
      </w:r>
      <w:r w:rsidR="00903E68">
        <w:t xml:space="preserve"> </w:t>
      </w:r>
      <w:r w:rsidR="00FB775F">
        <w:t>first home</w:t>
      </w:r>
      <w:r>
        <w:t>—</w:t>
      </w:r>
      <w:r w:rsidR="00FB775F">
        <w:t xml:space="preserve">but </w:t>
      </w:r>
      <w:r w:rsidR="00903E68">
        <w:t xml:space="preserve">feel </w:t>
      </w:r>
      <w:r w:rsidR="00FB775F">
        <w:t>daunted by the current market</w:t>
      </w:r>
      <w:r>
        <w:t xml:space="preserve">? </w:t>
      </w:r>
      <w:r w:rsidR="00FB775F">
        <w:t xml:space="preserve">Reaching </w:t>
      </w:r>
      <w:r w:rsidR="001A2308">
        <w:t>that</w:t>
      </w:r>
      <w:r w:rsidR="00F973A8">
        <w:t xml:space="preserve"> homeownership</w:t>
      </w:r>
      <w:r w:rsidR="00FB775F">
        <w:t xml:space="preserve"> milestone </w:t>
      </w:r>
      <w:r>
        <w:t xml:space="preserve">is important, which is why I’d like to share valuable information </w:t>
      </w:r>
      <w:r w:rsidR="00903E68">
        <w:t>on</w:t>
      </w:r>
      <w:r>
        <w:t xml:space="preserve"> </w:t>
      </w:r>
      <w:r w:rsidR="00FB775F">
        <w:t xml:space="preserve">how you can </w:t>
      </w:r>
      <w:r w:rsidR="00903E68">
        <w:t>get there</w:t>
      </w:r>
      <w:r w:rsidR="00FB775F">
        <w:t xml:space="preserve"> faster with a F</w:t>
      </w:r>
      <w:r w:rsidR="00F973A8">
        <w:t xml:space="preserve">irst </w:t>
      </w:r>
      <w:r w:rsidR="00FB775F">
        <w:t>H</w:t>
      </w:r>
      <w:r w:rsidR="00F973A8">
        <w:t xml:space="preserve">ome </w:t>
      </w:r>
      <w:r w:rsidR="00FB775F">
        <w:t>S</w:t>
      </w:r>
      <w:r w:rsidR="00F973A8">
        <w:t xml:space="preserve">avings </w:t>
      </w:r>
      <w:r w:rsidR="00FB775F">
        <w:t>A</w:t>
      </w:r>
      <w:r w:rsidR="00F973A8">
        <w:t>ccount (FHSA)</w:t>
      </w:r>
      <w:r w:rsidR="00FB775F">
        <w:t>.</w:t>
      </w:r>
    </w:p>
    <w:p w14:paraId="1CDA008B" w14:textId="7A800634" w:rsidR="00577A42" w:rsidRPr="009C659F" w:rsidRDefault="00577A42" w:rsidP="00577A42">
      <w:pPr>
        <w:pStyle w:val="Heading2"/>
        <w:rPr>
          <w:b/>
          <w:bCs/>
          <w:color w:val="auto"/>
        </w:rPr>
      </w:pPr>
      <w:r w:rsidRPr="009C659F">
        <w:rPr>
          <w:b/>
          <w:bCs/>
          <w:color w:val="auto"/>
        </w:rPr>
        <w:t>What is a</w:t>
      </w:r>
      <w:r w:rsidR="00FB775F">
        <w:rPr>
          <w:b/>
          <w:bCs/>
          <w:color w:val="auto"/>
        </w:rPr>
        <w:t>n</w:t>
      </w:r>
      <w:r w:rsidRPr="009C659F">
        <w:rPr>
          <w:b/>
          <w:bCs/>
          <w:color w:val="auto"/>
        </w:rPr>
        <w:t xml:space="preserve"> </w:t>
      </w:r>
      <w:r w:rsidR="00FB775F">
        <w:rPr>
          <w:b/>
          <w:bCs/>
          <w:color w:val="auto"/>
        </w:rPr>
        <w:t>FHSA</w:t>
      </w:r>
      <w:r w:rsidRPr="009C659F">
        <w:rPr>
          <w:b/>
          <w:bCs/>
          <w:color w:val="auto"/>
        </w:rPr>
        <w:t>?</w:t>
      </w:r>
    </w:p>
    <w:p w14:paraId="72538772" w14:textId="77777777" w:rsidR="00577A42" w:rsidRDefault="00577A42" w:rsidP="00577A42">
      <w:pPr>
        <w:spacing w:after="0"/>
      </w:pPr>
    </w:p>
    <w:p w14:paraId="2F99CB1A" w14:textId="3A57A76A" w:rsidR="00FB775F" w:rsidRDefault="00C85C94" w:rsidP="00577A42">
      <w:r>
        <w:t>Recently introduced by the federal government, t</w:t>
      </w:r>
      <w:r w:rsidR="00FB775F" w:rsidRPr="00FB775F">
        <w:t xml:space="preserve">he FHSA is a registered plan designed to help first-time homebuyers save toward their first home—tax-free. </w:t>
      </w:r>
    </w:p>
    <w:p w14:paraId="7B3119E9" w14:textId="0635BC44" w:rsidR="00577A42" w:rsidRDefault="00FB775F" w:rsidP="00577A42">
      <w:pPr>
        <w:pStyle w:val="Heading2"/>
        <w:rPr>
          <w:b/>
          <w:bCs/>
          <w:color w:val="auto"/>
        </w:rPr>
      </w:pPr>
      <w:r>
        <w:rPr>
          <w:b/>
          <w:bCs/>
          <w:color w:val="auto"/>
        </w:rPr>
        <w:t>K</w:t>
      </w:r>
      <w:r w:rsidR="00577A42" w:rsidRPr="001A581E">
        <w:rPr>
          <w:b/>
          <w:bCs/>
          <w:color w:val="auto"/>
        </w:rPr>
        <w:t>ey benefits of a</w:t>
      </w:r>
      <w:r>
        <w:rPr>
          <w:b/>
          <w:bCs/>
          <w:color w:val="auto"/>
        </w:rPr>
        <w:t>n FHSA</w:t>
      </w:r>
    </w:p>
    <w:p w14:paraId="25BC064B" w14:textId="77777777" w:rsidR="00577A42" w:rsidRPr="001A581E" w:rsidRDefault="00577A42" w:rsidP="00577A42">
      <w:pPr>
        <w:spacing w:after="0"/>
      </w:pPr>
    </w:p>
    <w:p w14:paraId="394A2E75" w14:textId="67B186FF" w:rsidR="00577A42" w:rsidRDefault="00406E5B" w:rsidP="00577A42">
      <w:pPr>
        <w:pStyle w:val="ListParagraph"/>
        <w:numPr>
          <w:ilvl w:val="0"/>
          <w:numId w:val="1"/>
        </w:numPr>
      </w:pPr>
      <w:r>
        <w:rPr>
          <w:b/>
          <w:bCs/>
        </w:rPr>
        <w:t xml:space="preserve">Contributions are </w:t>
      </w:r>
      <w:proofErr w:type="gramStart"/>
      <w:r>
        <w:rPr>
          <w:b/>
          <w:bCs/>
        </w:rPr>
        <w:t>tax-deductible</w:t>
      </w:r>
      <w:proofErr w:type="gramEnd"/>
    </w:p>
    <w:p w14:paraId="4D04C858" w14:textId="480F6884" w:rsidR="00406E5B" w:rsidRPr="008B46A2" w:rsidRDefault="00406E5B" w:rsidP="00406E5B">
      <w:pPr>
        <w:pStyle w:val="ListParagraph"/>
        <w:spacing w:line="240" w:lineRule="auto"/>
        <w:ind w:left="360"/>
        <w:rPr>
          <w:rFonts w:cstheme="minorHAnsi"/>
          <w:bCs/>
        </w:rPr>
      </w:pPr>
      <w:r w:rsidRPr="008B46A2">
        <w:rPr>
          <w:rFonts w:cstheme="minorHAnsi"/>
          <w:bCs/>
        </w:rPr>
        <w:t>Reduce your taxable income by contributing up to $8,000 per year, with a lifetime limit of $40,000</w:t>
      </w:r>
      <w:r w:rsidR="00E62C59">
        <w:rPr>
          <w:rFonts w:cstheme="minorHAnsi"/>
          <w:bCs/>
        </w:rPr>
        <w:t>.</w:t>
      </w:r>
    </w:p>
    <w:p w14:paraId="087F1E2C" w14:textId="77777777" w:rsidR="00577A42" w:rsidRDefault="00577A42" w:rsidP="00577A42">
      <w:pPr>
        <w:pStyle w:val="ListParagraph"/>
        <w:ind w:left="360"/>
      </w:pPr>
    </w:p>
    <w:p w14:paraId="0FB527DF" w14:textId="04A48FB2" w:rsidR="00577A42" w:rsidRPr="000070BD" w:rsidRDefault="00406E5B" w:rsidP="00577A42">
      <w:pPr>
        <w:pStyle w:val="ListParagraph"/>
        <w:numPr>
          <w:ilvl w:val="0"/>
          <w:numId w:val="1"/>
        </w:numPr>
      </w:pPr>
      <w:r>
        <w:rPr>
          <w:b/>
          <w:bCs/>
        </w:rPr>
        <w:t xml:space="preserve">Gains are </w:t>
      </w:r>
      <w:proofErr w:type="gramStart"/>
      <w:r>
        <w:rPr>
          <w:b/>
          <w:bCs/>
        </w:rPr>
        <w:t>tax-free</w:t>
      </w:r>
      <w:proofErr w:type="gramEnd"/>
    </w:p>
    <w:p w14:paraId="5D1D8920" w14:textId="5CB1AFD0" w:rsidR="00406E5B" w:rsidRPr="008B46A2" w:rsidRDefault="00406E5B" w:rsidP="00406E5B">
      <w:pPr>
        <w:pStyle w:val="ListParagraph"/>
        <w:spacing w:line="240" w:lineRule="auto"/>
        <w:ind w:left="360"/>
        <w:rPr>
          <w:rFonts w:cstheme="minorHAnsi"/>
          <w:bCs/>
        </w:rPr>
      </w:pPr>
      <w:r w:rsidRPr="008B46A2">
        <w:rPr>
          <w:rFonts w:cstheme="minorHAnsi"/>
          <w:bCs/>
        </w:rPr>
        <w:t>The interest you earn in an FHSA will not be taxed</w:t>
      </w:r>
      <w:r>
        <w:rPr>
          <w:rFonts w:cstheme="minorHAnsi"/>
          <w:bCs/>
        </w:rPr>
        <w:t>.</w:t>
      </w:r>
    </w:p>
    <w:p w14:paraId="02718E85" w14:textId="77777777" w:rsidR="00577A42" w:rsidRPr="000070BD" w:rsidRDefault="00577A42" w:rsidP="00577A42">
      <w:pPr>
        <w:pStyle w:val="ListParagraph"/>
        <w:ind w:left="360"/>
      </w:pPr>
    </w:p>
    <w:p w14:paraId="63A40EAF" w14:textId="77777777" w:rsidR="00406E5B" w:rsidRPr="00406E5B" w:rsidRDefault="00406E5B" w:rsidP="00FB775F">
      <w:pPr>
        <w:pStyle w:val="ListParagraph"/>
        <w:numPr>
          <w:ilvl w:val="0"/>
          <w:numId w:val="1"/>
        </w:numPr>
      </w:pPr>
      <w:r>
        <w:rPr>
          <w:b/>
          <w:bCs/>
        </w:rPr>
        <w:t xml:space="preserve">Withdrawals are </w:t>
      </w:r>
      <w:proofErr w:type="gramStart"/>
      <w:r>
        <w:rPr>
          <w:b/>
          <w:bCs/>
        </w:rPr>
        <w:t>tax-free</w:t>
      </w:r>
      <w:proofErr w:type="gramEnd"/>
    </w:p>
    <w:p w14:paraId="3B7DB2F7" w14:textId="27D442F7" w:rsidR="00406E5B" w:rsidRPr="00406E5B" w:rsidRDefault="00406E5B" w:rsidP="00406E5B">
      <w:pPr>
        <w:pStyle w:val="ListParagraph"/>
        <w:ind w:left="360"/>
      </w:pPr>
      <w:r w:rsidRPr="00406E5B">
        <w:t>When used for a qualifying purchase</w:t>
      </w:r>
      <w:r w:rsidRPr="00406E5B">
        <w:rPr>
          <w:vertAlign w:val="superscript"/>
        </w:rPr>
        <w:t>1</w:t>
      </w:r>
      <w:r w:rsidRPr="00406E5B">
        <w:t>, withdrawals are tax-free and penalty-free</w:t>
      </w:r>
      <w:r>
        <w:t>.</w:t>
      </w:r>
      <w:r w:rsidRPr="00406E5B">
        <w:t xml:space="preserve"> </w:t>
      </w:r>
    </w:p>
    <w:p w14:paraId="2DC7A55E" w14:textId="62C1AFAF" w:rsidR="00FB775F" w:rsidRDefault="00FB775F" w:rsidP="00FB775F">
      <w:pPr>
        <w:pStyle w:val="Heading2"/>
        <w:rPr>
          <w:b/>
          <w:bCs/>
          <w:color w:val="auto"/>
        </w:rPr>
      </w:pPr>
      <w:r>
        <w:rPr>
          <w:b/>
          <w:bCs/>
          <w:color w:val="auto"/>
        </w:rPr>
        <w:t>Meet the EQ Bank FHSA</w:t>
      </w:r>
    </w:p>
    <w:p w14:paraId="6149E6A5" w14:textId="77777777" w:rsidR="00FB775F" w:rsidRDefault="00FB775F" w:rsidP="00FB775F">
      <w:pPr>
        <w:spacing w:after="0"/>
      </w:pPr>
    </w:p>
    <w:p w14:paraId="6B32E37E" w14:textId="178732EA" w:rsidR="00681D84" w:rsidRDefault="00CB085B" w:rsidP="005F7941">
      <w:r>
        <w:t xml:space="preserve">I encourage you to check out </w:t>
      </w:r>
      <w:r w:rsidR="005F7941">
        <w:t>EQ Bank’s</w:t>
      </w:r>
      <w:r>
        <w:t xml:space="preserve"> </w:t>
      </w:r>
      <w:r w:rsidR="00406E5B" w:rsidRPr="00406E5B">
        <w:t xml:space="preserve">fully digital no-fee </w:t>
      </w:r>
      <w:hyperlink r:id="rId11" w:history="1">
        <w:r w:rsidR="00406E5B" w:rsidRPr="00A36DC1">
          <w:rPr>
            <w:rStyle w:val="Hyperlink"/>
          </w:rPr>
          <w:t>FHSA Savings Account</w:t>
        </w:r>
      </w:hyperlink>
      <w:r w:rsidR="00681D84">
        <w:t>. It comes</w:t>
      </w:r>
      <w:r w:rsidR="00406E5B" w:rsidRPr="00406E5B">
        <w:t xml:space="preserve"> with an </w:t>
      </w:r>
      <w:r w:rsidR="00406E5B" w:rsidRPr="00E62C59">
        <w:rPr>
          <w:b/>
          <w:bCs/>
        </w:rPr>
        <w:t>industry-leading interest rate of 3.00%*</w:t>
      </w:r>
      <w:r w:rsidR="00AD3608">
        <w:rPr>
          <w:b/>
          <w:bCs/>
        </w:rPr>
        <w:t>,</w:t>
      </w:r>
      <w:r w:rsidR="003A6B50">
        <w:rPr>
          <w:b/>
          <w:bCs/>
        </w:rPr>
        <w:t xml:space="preserve"> </w:t>
      </w:r>
      <w:r w:rsidR="00AD3608">
        <w:t>as well as</w:t>
      </w:r>
      <w:r w:rsidR="003A6B50" w:rsidRPr="003A6B50">
        <w:t xml:space="preserve"> FHSA GICs </w:t>
      </w:r>
      <w:r w:rsidR="00F973A8">
        <w:t>(</w:t>
      </w:r>
      <w:hyperlink r:id="rId12" w:history="1">
        <w:r w:rsidR="00F973A8" w:rsidRPr="00F973A8">
          <w:rPr>
            <w:rStyle w:val="Hyperlink"/>
          </w:rPr>
          <w:t>learn more</w:t>
        </w:r>
      </w:hyperlink>
      <w:r w:rsidR="00F973A8">
        <w:t xml:space="preserve">) </w:t>
      </w:r>
      <w:r w:rsidR="00AD3608">
        <w:t>in</w:t>
      </w:r>
      <w:r w:rsidR="003A6B50" w:rsidRPr="003A6B50">
        <w:t xml:space="preserve"> a range of term options </w:t>
      </w:r>
      <w:r w:rsidR="00712AA4">
        <w:t xml:space="preserve">with </w:t>
      </w:r>
      <w:r w:rsidR="00712AA4" w:rsidRPr="00712AA4">
        <w:rPr>
          <w:b/>
          <w:bCs/>
        </w:rPr>
        <w:t xml:space="preserve">guaranteed returns of </w:t>
      </w:r>
      <w:r w:rsidR="003A6B50" w:rsidRPr="00712AA4">
        <w:rPr>
          <w:b/>
          <w:bCs/>
        </w:rPr>
        <w:t>up to 5.60%</w:t>
      </w:r>
      <w:r w:rsidR="00E524E5" w:rsidRPr="00EA1111">
        <w:rPr>
          <w:b/>
          <w:bCs/>
          <w:vertAlign w:val="superscript"/>
        </w:rPr>
        <w:t>*</w:t>
      </w:r>
      <w:r w:rsidR="003A6B50" w:rsidRPr="00712AA4">
        <w:rPr>
          <w:b/>
          <w:bCs/>
          <w:vertAlign w:val="superscript"/>
        </w:rPr>
        <w:t>*</w:t>
      </w:r>
      <w:r w:rsidR="003A6B50" w:rsidRPr="00712AA4">
        <w:rPr>
          <w:b/>
          <w:bCs/>
        </w:rPr>
        <w:t>.</w:t>
      </w:r>
      <w:r w:rsidRPr="005F7941">
        <w:t xml:space="preserve"> </w:t>
      </w:r>
    </w:p>
    <w:p w14:paraId="1FECAB64" w14:textId="22A8A99B" w:rsidR="00681D84" w:rsidRDefault="005F7941" w:rsidP="005F7941">
      <w:r w:rsidRPr="005F7941">
        <w:t>EQ Bank is Equitable</w:t>
      </w:r>
      <w:r w:rsidR="00681D84">
        <w:t xml:space="preserve"> Bank</w:t>
      </w:r>
      <w:r w:rsidRPr="005F7941">
        <w:t xml:space="preserve">’s digital banking </w:t>
      </w:r>
      <w:proofErr w:type="gramStart"/>
      <w:r w:rsidRPr="005F7941">
        <w:t>offshoot</w:t>
      </w:r>
      <w:r w:rsidR="00681D84">
        <w:t>, and</w:t>
      </w:r>
      <w:proofErr w:type="gramEnd"/>
      <w:r w:rsidR="00681D84">
        <w:t xml:space="preserve"> has been named the #1 Bank in Canada on the Forbes 2023 list of the World’s Best Banks</w:t>
      </w:r>
      <w:r w:rsidRPr="005F7941">
        <w:t xml:space="preserve">. </w:t>
      </w:r>
    </w:p>
    <w:p w14:paraId="1ECE6F05" w14:textId="196D451B" w:rsidR="005F7941" w:rsidRDefault="00681D84" w:rsidP="005F7941">
      <w:r>
        <w:t xml:space="preserve">I proudly partner with Equitable Bank, a well-known mortgage lender </w:t>
      </w:r>
      <w:r w:rsidRPr="00EA1111">
        <w:t xml:space="preserve">that </w:t>
      </w:r>
      <w:r w:rsidR="00BA4EA5" w:rsidRPr="00EA1111">
        <w:t>provides financing to various types of borrowers—from newcomers to Canada to self-employed individuals.</w:t>
      </w:r>
    </w:p>
    <w:p w14:paraId="6C27ACD1" w14:textId="1FF66AEA" w:rsidR="00577A42" w:rsidRPr="00CB2A9D" w:rsidRDefault="00A36DC1" w:rsidP="00577A42">
      <w:pPr>
        <w:pStyle w:val="Heading2"/>
        <w:rPr>
          <w:b/>
          <w:bCs/>
          <w:color w:val="auto"/>
        </w:rPr>
      </w:pPr>
      <w:r>
        <w:rPr>
          <w:b/>
          <w:bCs/>
          <w:color w:val="auto"/>
        </w:rPr>
        <w:t>I’m h</w:t>
      </w:r>
      <w:r w:rsidR="00577A42" w:rsidRPr="00CB2A9D">
        <w:rPr>
          <w:b/>
          <w:bCs/>
          <w:color w:val="auto"/>
        </w:rPr>
        <w:t xml:space="preserve">ere every step of the </w:t>
      </w:r>
      <w:proofErr w:type="gramStart"/>
      <w:r w:rsidR="00577A42" w:rsidRPr="00CB2A9D">
        <w:rPr>
          <w:b/>
          <w:bCs/>
          <w:color w:val="auto"/>
        </w:rPr>
        <w:t>way</w:t>
      </w:r>
      <w:proofErr w:type="gramEnd"/>
    </w:p>
    <w:p w14:paraId="491DCA88" w14:textId="77777777" w:rsidR="00577A42" w:rsidRDefault="00577A42" w:rsidP="00577A42">
      <w:pPr>
        <w:spacing w:after="0"/>
      </w:pPr>
    </w:p>
    <w:p w14:paraId="2250AD43" w14:textId="2BDC66D1" w:rsidR="00577A42" w:rsidRDefault="00A36DC1" w:rsidP="00577A42">
      <w:r>
        <w:t>I</w:t>
      </w:r>
      <w:r w:rsidR="00577A42">
        <w:t xml:space="preserve">f you’d like to chat </w:t>
      </w:r>
      <w:r w:rsidR="00CF2439">
        <w:t>further about the FHSA</w:t>
      </w:r>
      <w:r w:rsidR="00F973A8">
        <w:t xml:space="preserve">, </w:t>
      </w:r>
      <w:r w:rsidR="00577A42">
        <w:t xml:space="preserve">I’m happy to schedule a phone or video call, or an in-person meeting. </w:t>
      </w:r>
    </w:p>
    <w:p w14:paraId="0C13A0DC" w14:textId="77777777" w:rsidR="00577A42" w:rsidRDefault="00577A42" w:rsidP="00577A42">
      <w:r w:rsidRPr="009C659F">
        <w:rPr>
          <w:b/>
          <w:bCs/>
        </w:rPr>
        <w:t xml:space="preserve">Please don't hesitate to reach out to me at </w:t>
      </w:r>
      <w:r w:rsidRPr="00CF2439">
        <w:rPr>
          <w:b/>
          <w:bCs/>
          <w:color w:val="FF0000"/>
        </w:rPr>
        <w:t>[your contact information]</w:t>
      </w:r>
      <w:r w:rsidRPr="009C659F">
        <w:rPr>
          <w:b/>
          <w:bCs/>
        </w:rPr>
        <w:t>.</w:t>
      </w:r>
      <w:r>
        <w:t xml:space="preserve"> </w:t>
      </w:r>
    </w:p>
    <w:p w14:paraId="680ED044" w14:textId="77777777" w:rsidR="00577A42" w:rsidRDefault="00577A42" w:rsidP="00577A42">
      <w:pPr>
        <w:spacing w:after="0"/>
      </w:pPr>
      <w:r>
        <w:lastRenderedPageBreak/>
        <w:t>Warm regards,</w:t>
      </w:r>
    </w:p>
    <w:p w14:paraId="1B58B153" w14:textId="77777777" w:rsidR="00577A42" w:rsidRPr="000070BD" w:rsidRDefault="00577A42" w:rsidP="00577A42">
      <w:pPr>
        <w:rPr>
          <w:color w:val="FF0000"/>
        </w:rPr>
      </w:pPr>
      <w:r w:rsidRPr="000070BD">
        <w:rPr>
          <w:color w:val="FF0000"/>
        </w:rPr>
        <w:t>[Your name]</w:t>
      </w:r>
    </w:p>
    <w:p w14:paraId="349770DB" w14:textId="77777777" w:rsidR="00577A42" w:rsidRPr="000070BD" w:rsidRDefault="00577A42" w:rsidP="00577A42">
      <w:pPr>
        <w:rPr>
          <w:color w:val="FF0000"/>
        </w:rPr>
      </w:pPr>
      <w:r w:rsidRPr="000070BD">
        <w:rPr>
          <w:rFonts w:cs="Arial"/>
          <w:color w:val="FF0000"/>
          <w:szCs w:val="20"/>
        </w:rPr>
        <w:t>&lt;</w:t>
      </w:r>
      <w:r w:rsidRPr="004674C7">
        <w:rPr>
          <w:rFonts w:cs="Arial"/>
          <w:color w:val="FF0000"/>
          <w:szCs w:val="20"/>
        </w:rPr>
        <w:t>Your signature</w:t>
      </w:r>
      <w:r w:rsidRPr="000070BD">
        <w:rPr>
          <w:rFonts w:cs="Arial"/>
          <w:color w:val="FF0000"/>
          <w:szCs w:val="20"/>
        </w:rPr>
        <w:t>&gt;</w:t>
      </w:r>
    </w:p>
    <w:p w14:paraId="30D141C6" w14:textId="77777777" w:rsidR="00577A42" w:rsidRDefault="00577A42" w:rsidP="00577A42">
      <w:pPr>
        <w:rPr>
          <w:rFonts w:cs="Arial"/>
          <w:sz w:val="18"/>
          <w:szCs w:val="18"/>
        </w:rPr>
      </w:pPr>
    </w:p>
    <w:p w14:paraId="66D515F4" w14:textId="77777777" w:rsidR="00577A42" w:rsidRPr="007D16A0" w:rsidRDefault="00577A42" w:rsidP="00577A42">
      <w:pPr>
        <w:rPr>
          <w:rFonts w:cs="Arial"/>
          <w:sz w:val="16"/>
          <w:szCs w:val="16"/>
        </w:rPr>
      </w:pPr>
      <w:r w:rsidRPr="007D16A0">
        <w:rPr>
          <w:rFonts w:cs="Arial"/>
          <w:sz w:val="16"/>
          <w:szCs w:val="16"/>
        </w:rPr>
        <w:t xml:space="preserve">This email was sent by </w:t>
      </w:r>
      <w:r w:rsidRPr="007D16A0">
        <w:rPr>
          <w:rFonts w:cs="Arial"/>
          <w:color w:val="FF0000"/>
          <w:sz w:val="16"/>
          <w:szCs w:val="16"/>
        </w:rPr>
        <w:t>[Name of the Person/Organization sending the email]</w:t>
      </w:r>
      <w:r w:rsidRPr="007D16A0">
        <w:rPr>
          <w:rFonts w:cs="Arial"/>
          <w:sz w:val="16"/>
          <w:szCs w:val="16"/>
        </w:rPr>
        <w:t xml:space="preserve"> on behalf of Equitable Bank.</w:t>
      </w:r>
    </w:p>
    <w:p w14:paraId="17B8275B" w14:textId="77777777" w:rsidR="00577A42" w:rsidRPr="007D16A0" w:rsidRDefault="00577A42" w:rsidP="00577A42">
      <w:pPr>
        <w:rPr>
          <w:rFonts w:cs="Arial"/>
          <w:sz w:val="16"/>
          <w:szCs w:val="16"/>
        </w:rPr>
      </w:pPr>
      <w:r w:rsidRPr="007D16A0">
        <w:rPr>
          <w:rFonts w:cs="Arial"/>
          <w:sz w:val="16"/>
          <w:szCs w:val="16"/>
        </w:rPr>
        <w:t>Equitable Bank</w:t>
      </w:r>
      <w:r w:rsidRPr="007D16A0">
        <w:rPr>
          <w:rFonts w:cs="Arial"/>
          <w:sz w:val="16"/>
          <w:szCs w:val="16"/>
        </w:rPr>
        <w:br/>
        <w:t>30 St. Clair Ave. West, Suite 700 Toronto, Ontario, M4V 3A1, Canada</w:t>
      </w:r>
      <w:r w:rsidRPr="007D16A0">
        <w:rPr>
          <w:rFonts w:cs="Arial"/>
          <w:sz w:val="16"/>
          <w:szCs w:val="16"/>
        </w:rPr>
        <w:br/>
      </w:r>
      <w:hyperlink r:id="rId13" w:history="1">
        <w:r w:rsidRPr="007D16A0">
          <w:rPr>
            <w:rStyle w:val="Hyperlink"/>
            <w:rFonts w:cs="Arial"/>
            <w:sz w:val="16"/>
            <w:szCs w:val="16"/>
          </w:rPr>
          <w:t>CONTACT US</w:t>
        </w:r>
      </w:hyperlink>
    </w:p>
    <w:p w14:paraId="0ECA8F40" w14:textId="5BE32871" w:rsidR="00577A42" w:rsidRDefault="00577A42" w:rsidP="00577A42">
      <w:pPr>
        <w:rPr>
          <w:rFonts w:cs="Arial"/>
          <w:sz w:val="16"/>
          <w:szCs w:val="16"/>
        </w:rPr>
      </w:pPr>
      <w:r w:rsidRPr="007D16A0">
        <w:rPr>
          <w:rFonts w:cs="Arial"/>
          <w:sz w:val="16"/>
          <w:szCs w:val="16"/>
        </w:rPr>
        <w:t xml:space="preserve">* </w:t>
      </w:r>
      <w:r w:rsidR="00CF2439" w:rsidRPr="007D16A0">
        <w:rPr>
          <w:rFonts w:cs="Arial"/>
          <w:sz w:val="16"/>
          <w:szCs w:val="16"/>
        </w:rPr>
        <w:t>Interest is calculated daily on the total closing balance and paid monthly. Rates are per annum and subject to change without notice.</w:t>
      </w:r>
    </w:p>
    <w:p w14:paraId="3D275DA2" w14:textId="17D1B38F" w:rsidR="00E524E5" w:rsidRPr="007D16A0" w:rsidRDefault="00E524E5" w:rsidP="00577A42">
      <w:pPr>
        <w:rPr>
          <w:rFonts w:cs="Arial"/>
          <w:sz w:val="16"/>
          <w:szCs w:val="16"/>
        </w:rPr>
      </w:pPr>
      <w:r w:rsidRPr="00E524E5">
        <w:rPr>
          <w:rFonts w:cs="Arial"/>
          <w:sz w:val="16"/>
          <w:szCs w:val="16"/>
        </w:rPr>
        <w:t xml:space="preserve">**EQ Bank GICs are non-redeemable. For FHSA GICs, interest is calculated on a per annum basis, compounded annually, and paid at maturity. Interest is accrued for the entire GIC term. The rates shown are in effect as </w:t>
      </w:r>
      <w:proofErr w:type="gramStart"/>
      <w:r w:rsidRPr="00E524E5">
        <w:rPr>
          <w:rFonts w:cs="Arial"/>
          <w:sz w:val="16"/>
          <w:szCs w:val="16"/>
        </w:rPr>
        <w:t>at</w:t>
      </w:r>
      <w:proofErr w:type="gramEnd"/>
      <w:r w:rsidRPr="00E524E5">
        <w:rPr>
          <w:rFonts w:cs="Arial"/>
          <w:sz w:val="16"/>
          <w:szCs w:val="16"/>
        </w:rPr>
        <w:t xml:space="preserve"> August 28, 2023. Rates are subject to change at any time.</w:t>
      </w:r>
    </w:p>
    <w:p w14:paraId="032D5653" w14:textId="7E1BEAF7" w:rsidR="0071666D" w:rsidRPr="007D16A0" w:rsidRDefault="0071666D" w:rsidP="0071666D">
      <w:pPr>
        <w:rPr>
          <w:rFonts w:cs="Arial"/>
          <w:sz w:val="16"/>
          <w:szCs w:val="16"/>
        </w:rPr>
      </w:pPr>
      <w:r w:rsidRPr="007D16A0">
        <w:rPr>
          <w:rFonts w:cs="Arial"/>
          <w:sz w:val="16"/>
          <w:szCs w:val="16"/>
          <w:vertAlign w:val="superscript"/>
        </w:rPr>
        <w:t>1</w:t>
      </w:r>
      <w:r w:rsidRPr="007D16A0">
        <w:rPr>
          <w:rFonts w:cs="Arial"/>
          <w:sz w:val="16"/>
          <w:szCs w:val="16"/>
        </w:rPr>
        <w:t xml:space="preserve"> To make a “qualifying withdrawal”, you must be a first-time homebuyer who is a resident of Canada, have a written agreement to buy or build a qualifying home in Canada before October 1 of the year following the year of withdrawal, and intend to occupy the qualifying home as your principal place of residence within one year of buying or building it. You must not have acquired the qualifying home more than 30 days before making the withdrawal.</w:t>
      </w:r>
    </w:p>
    <w:p w14:paraId="4F0DD4FB" w14:textId="1011FE98" w:rsidR="0071666D" w:rsidRPr="007D16A0" w:rsidRDefault="0071666D" w:rsidP="0071666D">
      <w:pPr>
        <w:rPr>
          <w:rFonts w:cs="Arial"/>
          <w:sz w:val="16"/>
          <w:szCs w:val="16"/>
        </w:rPr>
      </w:pPr>
      <w:r w:rsidRPr="007D16A0">
        <w:rPr>
          <w:rFonts w:cs="Arial"/>
          <w:sz w:val="16"/>
          <w:szCs w:val="16"/>
        </w:rPr>
        <w:t>You will be considered to be a "first-time home buyer” for the purposes of a qualifying withdrawal if, at any time in the calendar year before the withdrawal (except the 30 days immediately before the withdrawal) or at any time in the preceding four calendar years, you did not live in a qualifying home (or what would be a qualifying home if located in Canada) as your principal place of residence that you owned or jointly owned.</w:t>
      </w:r>
    </w:p>
    <w:p w14:paraId="61C9F326" w14:textId="60B08B35" w:rsidR="0071666D" w:rsidRPr="007D16A0" w:rsidRDefault="0071666D" w:rsidP="0071666D">
      <w:pPr>
        <w:rPr>
          <w:rFonts w:cs="Arial"/>
          <w:sz w:val="16"/>
          <w:szCs w:val="16"/>
        </w:rPr>
      </w:pPr>
      <w:r w:rsidRPr="007D16A0">
        <w:rPr>
          <w:rFonts w:cs="Arial"/>
          <w:sz w:val="16"/>
          <w:szCs w:val="16"/>
        </w:rPr>
        <w:t>A "qualifying home" is defined as a housing unit located in Canada. This includes existing homes and those being constructed, such as single-family homes, semi-detached homes, townhouses, mobile homes, condominium units, and apartments in duplexes, triplexes, fourplexes, or apartment buildings, but does not include a share that only provides you with a right to tenancy in the housing unit.</w:t>
      </w:r>
    </w:p>
    <w:p w14:paraId="0BE63EC7" w14:textId="77777777" w:rsidR="00577A42" w:rsidRPr="007D16A0" w:rsidRDefault="00577A42" w:rsidP="00577A42">
      <w:pPr>
        <w:rPr>
          <w:rFonts w:cs="Arial"/>
          <w:color w:val="FF0000"/>
          <w:sz w:val="16"/>
          <w:szCs w:val="16"/>
        </w:rPr>
      </w:pPr>
      <w:r w:rsidRPr="007D16A0">
        <w:rPr>
          <w:rFonts w:cs="Arial"/>
          <w:color w:val="FF0000"/>
          <w:sz w:val="16"/>
          <w:szCs w:val="16"/>
        </w:rPr>
        <w:t>UNSUBSCRIBE [Please insert your unsubscribe link/mechanism here]</w:t>
      </w:r>
    </w:p>
    <w:p w14:paraId="5EA279F0" w14:textId="77777777" w:rsidR="00342B8A" w:rsidRPr="00136DD8" w:rsidRDefault="00342B8A" w:rsidP="00136DD8"/>
    <w:sectPr w:rsidR="00342B8A" w:rsidRPr="00136DD8" w:rsidSect="00B5071F">
      <w:headerReference w:type="default" r:id="rId14"/>
      <w:footerReference w:type="default" r:id="rId15"/>
      <w:headerReference w:type="first" r:id="rId16"/>
      <w:footerReference w:type="first" r:id="rId17"/>
      <w:pgSz w:w="12240" w:h="15840"/>
      <w:pgMar w:top="1440" w:right="720" w:bottom="1440" w:left="72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E204" w14:textId="77777777" w:rsidR="00E13271" w:rsidRDefault="00E13271" w:rsidP="007E167C">
      <w:pPr>
        <w:spacing w:after="0" w:line="240" w:lineRule="auto"/>
      </w:pPr>
      <w:r>
        <w:separator/>
      </w:r>
    </w:p>
  </w:endnote>
  <w:endnote w:type="continuationSeparator" w:id="0">
    <w:p w14:paraId="1728E26B" w14:textId="77777777" w:rsidR="00E13271" w:rsidRDefault="00E13271" w:rsidP="007E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F2DD" w14:textId="77777777" w:rsidR="007E167C" w:rsidRPr="00B5071F" w:rsidRDefault="007E167C" w:rsidP="007E167C">
    <w:pPr>
      <w:pStyle w:val="BasicParagraph"/>
      <w:jc w:val="right"/>
      <w:rPr>
        <w:rFonts w:ascii="Arial" w:hAnsi="Arial" w:cs="Arial"/>
        <w:color w:val="323232"/>
        <w:spacing w:val="-2"/>
        <w:sz w:val="16"/>
        <w:szCs w:val="16"/>
      </w:rPr>
    </w:pP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B5071F" w14:paraId="3963C16B" w14:textId="77777777" w:rsidTr="00C8278B">
      <w:tc>
        <w:tcPr>
          <w:tcW w:w="9540" w:type="dxa"/>
          <w:tcBorders>
            <w:top w:val="single" w:sz="12" w:space="0" w:color="463C5F"/>
          </w:tcBorders>
          <w:tcMar>
            <w:left w:w="0" w:type="dxa"/>
          </w:tcMar>
        </w:tcPr>
        <w:p w14:paraId="0AE7C043" w14:textId="77777777" w:rsidR="007E167C" w:rsidRPr="00B5071F" w:rsidRDefault="00B5071F" w:rsidP="007E167C">
          <w:pPr>
            <w:tabs>
              <w:tab w:val="center" w:pos="4680"/>
              <w:tab w:val="right" w:pos="9360"/>
            </w:tabs>
            <w:rPr>
              <w:rFonts w:cs="Arial"/>
              <w:color w:val="BE1E5A"/>
            </w:rPr>
          </w:pPr>
          <w:r w:rsidRPr="00B5071F">
            <w:rPr>
              <w:rFonts w:cs="Arial"/>
              <w:b/>
              <w:bCs/>
              <w:sz w:val="16"/>
              <w:szCs w:val="16"/>
            </w:rPr>
            <w:t>Tel</w:t>
          </w:r>
          <w:r w:rsidRPr="00B5071F">
            <w:rPr>
              <w:rFonts w:cs="Arial"/>
              <w:sz w:val="16"/>
              <w:szCs w:val="16"/>
            </w:rPr>
            <w:t xml:space="preserve"> 416-515-</w:t>
          </w:r>
          <w:proofErr w:type="gramStart"/>
          <w:r w:rsidRPr="00B5071F">
            <w:rPr>
              <w:rFonts w:cs="Arial"/>
              <w:sz w:val="16"/>
              <w:szCs w:val="16"/>
            </w:rPr>
            <w:t>7000  |</w:t>
          </w:r>
          <w:proofErr w:type="gramEnd"/>
          <w:r w:rsidRPr="00B5071F">
            <w:rPr>
              <w:rFonts w:cs="Arial"/>
              <w:sz w:val="16"/>
              <w:szCs w:val="16"/>
            </w:rPr>
            <w:t xml:space="preserve">  </w:t>
          </w:r>
          <w:r w:rsidRPr="00B5071F">
            <w:rPr>
              <w:rFonts w:cs="Arial"/>
              <w:b/>
              <w:bCs/>
              <w:sz w:val="16"/>
              <w:szCs w:val="16"/>
            </w:rPr>
            <w:t>Toll Free</w:t>
          </w:r>
          <w:r w:rsidRPr="00B5071F">
            <w:rPr>
              <w:rFonts w:cs="Arial"/>
              <w:sz w:val="16"/>
              <w:szCs w:val="16"/>
            </w:rPr>
            <w:t xml:space="preserve"> 1-866-407-0004  |</w:t>
          </w:r>
          <w:r w:rsidRPr="003D7580">
            <w:rPr>
              <w:rFonts w:cs="Arial"/>
              <w:b/>
              <w:bCs/>
              <w:sz w:val="16"/>
              <w:szCs w:val="16"/>
            </w:rPr>
            <w:t xml:space="preserve">  </w:t>
          </w:r>
          <w:r w:rsidR="003D7580" w:rsidRPr="003D7580">
            <w:rPr>
              <w:rFonts w:cs="Arial"/>
              <w:b/>
              <w:bCs/>
              <w:sz w:val="16"/>
              <w:szCs w:val="16"/>
            </w:rPr>
            <w:t>eqbank.ca</w:t>
          </w:r>
          <w:r w:rsidR="003D7580" w:rsidRPr="003D7580">
            <w:rPr>
              <w:rFonts w:cs="Arial"/>
              <w:sz w:val="16"/>
              <w:szCs w:val="16"/>
            </w:rPr>
            <w:t xml:space="preserve"> |  </w:t>
          </w:r>
          <w:r w:rsidRPr="003D7580">
            <w:rPr>
              <w:rFonts w:cs="Arial"/>
              <w:b/>
              <w:bCs/>
              <w:sz w:val="16"/>
              <w:szCs w:val="16"/>
            </w:rPr>
            <w:t>equitablebank.ca</w:t>
          </w:r>
        </w:p>
      </w:tc>
      <w:tc>
        <w:tcPr>
          <w:tcW w:w="1174" w:type="dxa"/>
          <w:tcBorders>
            <w:top w:val="single" w:sz="12" w:space="0" w:color="463C5F"/>
          </w:tcBorders>
        </w:tcPr>
        <w:p w14:paraId="77C771C0" w14:textId="77777777" w:rsidR="007E167C" w:rsidRPr="00B5071F" w:rsidRDefault="007E167C" w:rsidP="007E167C">
          <w:pPr>
            <w:pStyle w:val="BasicParagraph"/>
            <w:jc w:val="right"/>
            <w:rPr>
              <w:rFonts w:ascii="Arial" w:hAnsi="Arial" w:cs="Arial"/>
              <w:color w:val="666666"/>
              <w:spacing w:val="-2"/>
              <w:sz w:val="16"/>
              <w:szCs w:val="16"/>
            </w:rPr>
          </w:pPr>
          <w:r w:rsidRPr="00B5071F">
            <w:rPr>
              <w:rFonts w:ascii="Arial" w:hAnsi="Arial" w:cs="Arial"/>
              <w:color w:val="595959" w:themeColor="text1" w:themeTint="A6"/>
              <w:sz w:val="16"/>
              <w:szCs w:val="16"/>
            </w:rPr>
            <w:t xml:space="preserve">Page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PAGE  \* Arabic  \* MERGEFORMAT </w:instrText>
          </w:r>
          <w:r w:rsidRPr="00B5071F">
            <w:rPr>
              <w:rFonts w:ascii="Arial" w:hAnsi="Arial" w:cs="Arial"/>
              <w:b/>
              <w:bCs/>
              <w:color w:val="595959" w:themeColor="text1" w:themeTint="A6"/>
              <w:sz w:val="16"/>
              <w:szCs w:val="16"/>
            </w:rPr>
            <w:fldChar w:fldCharType="separate"/>
          </w:r>
          <w:r w:rsidR="00A92B64" w:rsidRPr="00B5071F">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r w:rsidRPr="00B5071F">
            <w:rPr>
              <w:rFonts w:ascii="Arial" w:hAnsi="Arial" w:cs="Arial"/>
              <w:color w:val="595959" w:themeColor="text1" w:themeTint="A6"/>
              <w:sz w:val="16"/>
              <w:szCs w:val="16"/>
            </w:rPr>
            <w:t xml:space="preserve"> of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NUMPAGES  \* Arabic  \* MERGEFORMAT </w:instrText>
          </w:r>
          <w:r w:rsidRPr="00B5071F">
            <w:rPr>
              <w:rFonts w:ascii="Arial" w:hAnsi="Arial" w:cs="Arial"/>
              <w:b/>
              <w:bCs/>
              <w:color w:val="595959" w:themeColor="text1" w:themeTint="A6"/>
              <w:sz w:val="16"/>
              <w:szCs w:val="16"/>
            </w:rPr>
            <w:fldChar w:fldCharType="separate"/>
          </w:r>
          <w:r w:rsidR="00A92B64" w:rsidRPr="00B5071F">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p>
      </w:tc>
    </w:tr>
  </w:tbl>
  <w:p w14:paraId="43000AA6" w14:textId="77777777" w:rsidR="007E167C" w:rsidRPr="00B5071F" w:rsidRDefault="007E167C" w:rsidP="007E167C">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A75A"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5625F3AE" w14:textId="77777777" w:rsidTr="00B5071F">
      <w:trPr>
        <w:trHeight w:val="212"/>
      </w:trPr>
      <w:tc>
        <w:tcPr>
          <w:tcW w:w="9540" w:type="dxa"/>
          <w:tcBorders>
            <w:top w:val="single" w:sz="12" w:space="0" w:color="463C5F"/>
          </w:tcBorders>
          <w:tcMar>
            <w:left w:w="0" w:type="dxa"/>
          </w:tcMar>
        </w:tcPr>
        <w:p w14:paraId="1CB9E12B" w14:textId="77777777" w:rsidR="00F35721" w:rsidRPr="00E0247D" w:rsidRDefault="00274A69" w:rsidP="007E167C">
          <w:pPr>
            <w:tabs>
              <w:tab w:val="center" w:pos="4680"/>
              <w:tab w:val="right" w:pos="9360"/>
            </w:tabs>
            <w:rPr>
              <w:sz w:val="16"/>
              <w:szCs w:val="16"/>
            </w:rPr>
          </w:pPr>
          <w:r w:rsidRPr="00E0247D">
            <w:rPr>
              <w:b/>
              <w:bCs/>
              <w:sz w:val="16"/>
              <w:szCs w:val="16"/>
            </w:rPr>
            <w:t>Equitable Bank</w:t>
          </w:r>
          <w:r w:rsidR="006F4DA9" w:rsidRPr="00E0247D">
            <w:rPr>
              <w:b/>
              <w:bCs/>
              <w:sz w:val="16"/>
              <w:szCs w:val="16"/>
            </w:rPr>
            <w:t xml:space="preserve"> Tower</w:t>
          </w:r>
          <w:r w:rsidR="006F4DA9" w:rsidRPr="00E0247D">
            <w:rPr>
              <w:sz w:val="16"/>
              <w:szCs w:val="16"/>
            </w:rPr>
            <w:t xml:space="preserve"> 30 St.</w:t>
          </w:r>
          <w:r w:rsidR="00F35721" w:rsidRPr="00E0247D">
            <w:rPr>
              <w:sz w:val="16"/>
              <w:szCs w:val="16"/>
            </w:rPr>
            <w:t xml:space="preserve"> Clair Avenue West, Suite 700, Toronto, Ontario, M4V 3A1</w:t>
          </w:r>
        </w:p>
        <w:p w14:paraId="21FFEE50" w14:textId="77777777" w:rsidR="007E167C" w:rsidRPr="006F4DA9" w:rsidRDefault="00F35721" w:rsidP="007E167C">
          <w:pPr>
            <w:tabs>
              <w:tab w:val="center" w:pos="4680"/>
              <w:tab w:val="right" w:pos="9360"/>
            </w:tabs>
            <w:rPr>
              <w:color w:val="BE1E5A"/>
              <w:sz w:val="18"/>
              <w:szCs w:val="18"/>
            </w:rPr>
          </w:pPr>
          <w:r w:rsidRPr="00E0247D">
            <w:rPr>
              <w:b/>
              <w:bCs/>
              <w:sz w:val="16"/>
              <w:szCs w:val="16"/>
            </w:rPr>
            <w:t>Tel</w:t>
          </w:r>
          <w:r w:rsidRPr="00E0247D">
            <w:rPr>
              <w:sz w:val="16"/>
              <w:szCs w:val="16"/>
            </w:rPr>
            <w:t xml:space="preserve"> 416-515-</w:t>
          </w:r>
          <w:proofErr w:type="gramStart"/>
          <w:r w:rsidRPr="00E0247D">
            <w:rPr>
              <w:sz w:val="16"/>
              <w:szCs w:val="16"/>
            </w:rPr>
            <w:t>7000</w:t>
          </w:r>
          <w:r w:rsidR="00573D24" w:rsidRPr="00E0247D">
            <w:rPr>
              <w:sz w:val="16"/>
              <w:szCs w:val="16"/>
            </w:rPr>
            <w:t xml:space="preserve">  |</w:t>
          </w:r>
          <w:proofErr w:type="gramEnd"/>
          <w:r w:rsidR="00381F24" w:rsidRPr="00E0247D">
            <w:rPr>
              <w:sz w:val="16"/>
              <w:szCs w:val="16"/>
            </w:rPr>
            <w:t xml:space="preserve">  </w:t>
          </w:r>
          <w:r w:rsidR="00573D24" w:rsidRPr="00E0247D">
            <w:rPr>
              <w:b/>
              <w:bCs/>
              <w:sz w:val="16"/>
              <w:szCs w:val="16"/>
            </w:rPr>
            <w:t>Toll Free</w:t>
          </w:r>
          <w:r w:rsidR="00573D24" w:rsidRPr="00E0247D">
            <w:rPr>
              <w:sz w:val="16"/>
              <w:szCs w:val="16"/>
            </w:rPr>
            <w:t xml:space="preserve"> 1-866-407-</w:t>
          </w:r>
          <w:r w:rsidR="002315E3" w:rsidRPr="00E0247D">
            <w:rPr>
              <w:sz w:val="16"/>
              <w:szCs w:val="16"/>
            </w:rPr>
            <w:t>0004</w:t>
          </w:r>
          <w:r w:rsidR="00381F24" w:rsidRPr="00E0247D">
            <w:rPr>
              <w:sz w:val="16"/>
              <w:szCs w:val="16"/>
            </w:rPr>
            <w:t xml:space="preserve">  </w:t>
          </w:r>
          <w:r w:rsidR="002315E3" w:rsidRPr="00E0247D">
            <w:rPr>
              <w:sz w:val="16"/>
              <w:szCs w:val="16"/>
            </w:rPr>
            <w:t>|</w:t>
          </w:r>
          <w:r w:rsidR="00381F24" w:rsidRPr="00E0247D">
            <w:rPr>
              <w:sz w:val="16"/>
              <w:szCs w:val="16"/>
            </w:rPr>
            <w:t xml:space="preserve">  </w:t>
          </w:r>
          <w:r w:rsidR="002315E3" w:rsidRPr="00E0247D">
            <w:rPr>
              <w:b/>
              <w:bCs/>
              <w:sz w:val="16"/>
              <w:szCs w:val="16"/>
            </w:rPr>
            <w:t>equitablebank.ca</w:t>
          </w:r>
        </w:p>
      </w:tc>
      <w:tc>
        <w:tcPr>
          <w:tcW w:w="1174" w:type="dxa"/>
          <w:tcBorders>
            <w:top w:val="single" w:sz="12" w:space="0" w:color="463C5F"/>
          </w:tcBorders>
        </w:tcPr>
        <w:p w14:paraId="726635AC"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1</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09023F25" w14:textId="77777777" w:rsidR="007E167C" w:rsidRPr="007E167C"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EA25" w14:textId="77777777" w:rsidR="00E13271" w:rsidRDefault="00E13271" w:rsidP="007E167C">
      <w:pPr>
        <w:spacing w:after="0" w:line="240" w:lineRule="auto"/>
      </w:pPr>
      <w:r>
        <w:separator/>
      </w:r>
    </w:p>
  </w:footnote>
  <w:footnote w:type="continuationSeparator" w:id="0">
    <w:p w14:paraId="02E2AFC1" w14:textId="77777777" w:rsidR="00E13271" w:rsidRDefault="00E13271" w:rsidP="007E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B5071F" w:rsidRPr="00B5071F" w14:paraId="79B6323D" w14:textId="77777777" w:rsidTr="00C8278B">
      <w:tc>
        <w:tcPr>
          <w:tcW w:w="4135" w:type="dxa"/>
        </w:tcPr>
        <w:p w14:paraId="16559502" w14:textId="77777777" w:rsidR="00A92B64" w:rsidRPr="00B5071F" w:rsidRDefault="00B5071F" w:rsidP="00A92B64">
          <w:pPr>
            <w:pStyle w:val="Header"/>
          </w:pPr>
          <w:r w:rsidRPr="00B5071F">
            <w:rPr>
              <w:noProof/>
            </w:rPr>
            <w:drawing>
              <wp:inline distT="0" distB="0" distL="0" distR="0" wp14:anchorId="26B7C5DE" wp14:editId="732E8AEB">
                <wp:extent cx="2168898" cy="335902"/>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6523" cy="344827"/>
                        </a:xfrm>
                        <a:prstGeom prst="rect">
                          <a:avLst/>
                        </a:prstGeom>
                        <a:noFill/>
                        <a:ln>
                          <a:noFill/>
                        </a:ln>
                      </pic:spPr>
                    </pic:pic>
                  </a:graphicData>
                </a:graphic>
              </wp:inline>
            </w:drawing>
          </w:r>
        </w:p>
      </w:tc>
      <w:tc>
        <w:tcPr>
          <w:tcW w:w="6565" w:type="dxa"/>
          <w:tcMar>
            <w:bottom w:w="101" w:type="dxa"/>
          </w:tcMar>
          <w:vAlign w:val="bottom"/>
        </w:tcPr>
        <w:p w14:paraId="6C422758" w14:textId="77777777" w:rsidR="00A3176B" w:rsidRDefault="00A3176B" w:rsidP="00A3176B">
          <w:pPr>
            <w:tabs>
              <w:tab w:val="center" w:pos="4680"/>
              <w:tab w:val="right" w:pos="9360"/>
            </w:tabs>
            <w:jc w:val="right"/>
            <w:rPr>
              <w:rFonts w:cs="Arial"/>
              <w:sz w:val="16"/>
              <w:szCs w:val="16"/>
            </w:rPr>
          </w:pPr>
          <w:r>
            <w:rPr>
              <w:rFonts w:cs="Arial"/>
              <w:b/>
              <w:bCs/>
              <w:sz w:val="16"/>
              <w:szCs w:val="16"/>
            </w:rPr>
            <w:t xml:space="preserve">   </w:t>
          </w:r>
          <w:r w:rsidRPr="00B5071F">
            <w:rPr>
              <w:rFonts w:cs="Arial"/>
              <w:b/>
              <w:bCs/>
              <w:sz w:val="16"/>
              <w:szCs w:val="16"/>
            </w:rPr>
            <w:t>Equitable Bank Tower</w:t>
          </w:r>
          <w:r w:rsidRPr="00B5071F">
            <w:rPr>
              <w:rFonts w:cs="Arial"/>
              <w:sz w:val="16"/>
              <w:szCs w:val="16"/>
            </w:rPr>
            <w:t xml:space="preserve"> </w:t>
          </w:r>
        </w:p>
        <w:p w14:paraId="40EC4EF5" w14:textId="77777777" w:rsidR="00A3176B" w:rsidRDefault="00A3176B" w:rsidP="00A3176B">
          <w:pPr>
            <w:tabs>
              <w:tab w:val="center" w:pos="4680"/>
              <w:tab w:val="right" w:pos="9360"/>
            </w:tabs>
            <w:jc w:val="right"/>
            <w:rPr>
              <w:rFonts w:cs="Arial"/>
              <w:sz w:val="16"/>
              <w:szCs w:val="16"/>
            </w:rPr>
          </w:pPr>
          <w:r w:rsidRPr="00B5071F">
            <w:rPr>
              <w:rFonts w:cs="Arial"/>
              <w:sz w:val="16"/>
              <w:szCs w:val="16"/>
            </w:rPr>
            <w:t xml:space="preserve">30 St. Clair Avenue West, </w:t>
          </w:r>
        </w:p>
        <w:p w14:paraId="449DEDBD" w14:textId="77777777" w:rsidR="00A92B64" w:rsidRPr="00B5071F" w:rsidRDefault="00A3176B" w:rsidP="00A3176B">
          <w:pPr>
            <w:jc w:val="right"/>
            <w:rPr>
              <w:rFonts w:cs="Arial"/>
              <w:b/>
              <w:sz w:val="24"/>
              <w:szCs w:val="24"/>
            </w:rPr>
          </w:pPr>
          <w:r>
            <w:rPr>
              <w:rFonts w:cs="Arial"/>
              <w:sz w:val="16"/>
              <w:szCs w:val="16"/>
            </w:rPr>
            <w:t xml:space="preserve">                                                                                       </w:t>
          </w:r>
          <w:r w:rsidRPr="00B5071F">
            <w:rPr>
              <w:rFonts w:cs="Arial"/>
              <w:sz w:val="16"/>
              <w:szCs w:val="16"/>
            </w:rPr>
            <w:t>Suite 700, Toronto, Ontario, M4V 3A1</w:t>
          </w:r>
        </w:p>
      </w:tc>
    </w:tr>
  </w:tbl>
  <w:p w14:paraId="5DB25268" w14:textId="77777777" w:rsidR="007E167C" w:rsidRPr="00B5071F" w:rsidRDefault="007E167C" w:rsidP="00A92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3E07D2" w:rsidRPr="003E07D2" w14:paraId="7CB40006" w14:textId="77777777" w:rsidTr="00C8278B">
      <w:tc>
        <w:tcPr>
          <w:tcW w:w="4135" w:type="dxa"/>
        </w:tcPr>
        <w:p w14:paraId="2B9014D0" w14:textId="77777777" w:rsidR="0067211C" w:rsidRPr="003E07D2" w:rsidRDefault="00B700E9" w:rsidP="0067211C">
          <w:pPr>
            <w:pStyle w:val="Header"/>
          </w:pPr>
          <w:r>
            <w:rPr>
              <w:noProof/>
            </w:rPr>
            <w:drawing>
              <wp:anchor distT="0" distB="0" distL="114300" distR="114300" simplePos="0" relativeHeight="251658240" behindDoc="0" locked="0" layoutInCell="1" allowOverlap="1" wp14:anchorId="5B945F31" wp14:editId="6614C486">
                <wp:simplePos x="0" y="0"/>
                <wp:positionH relativeFrom="column">
                  <wp:posOffset>0</wp:posOffset>
                </wp:positionH>
                <wp:positionV relativeFrom="paragraph">
                  <wp:posOffset>-85725</wp:posOffset>
                </wp:positionV>
                <wp:extent cx="1956435" cy="30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304800"/>
                        </a:xfrm>
                        <a:prstGeom prst="rect">
                          <a:avLst/>
                        </a:prstGeom>
                        <a:noFill/>
                        <a:ln>
                          <a:noFill/>
                        </a:ln>
                      </pic:spPr>
                    </pic:pic>
                  </a:graphicData>
                </a:graphic>
                <wp14:sizeRelV relativeFrom="margin">
                  <wp14:pctHeight>0</wp14:pctHeight>
                </wp14:sizeRelV>
              </wp:anchor>
            </w:drawing>
          </w:r>
        </w:p>
      </w:tc>
      <w:tc>
        <w:tcPr>
          <w:tcW w:w="6565" w:type="dxa"/>
          <w:tcMar>
            <w:bottom w:w="101" w:type="dxa"/>
          </w:tcMar>
          <w:vAlign w:val="bottom"/>
        </w:tcPr>
        <w:p w14:paraId="517B27D5" w14:textId="77777777" w:rsidR="0067211C" w:rsidRPr="003E07D2" w:rsidRDefault="0067211C" w:rsidP="0067211C">
          <w:pPr>
            <w:jc w:val="right"/>
            <w:rPr>
              <w:rFonts w:cs="Arial"/>
              <w:b/>
              <w:sz w:val="24"/>
              <w:szCs w:val="24"/>
            </w:rPr>
          </w:pPr>
          <w:r w:rsidRPr="003E07D2">
            <w:rPr>
              <w:rFonts w:cs="Arial"/>
              <w:b/>
              <w:sz w:val="24"/>
              <w:szCs w:val="24"/>
            </w:rPr>
            <w:t>Title of Document</w:t>
          </w:r>
        </w:p>
      </w:tc>
    </w:tr>
  </w:tbl>
  <w:p w14:paraId="2071EABB" w14:textId="77777777" w:rsidR="007E167C" w:rsidRPr="003E07D2" w:rsidRDefault="007E167C" w:rsidP="00672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6315"/>
    <w:multiLevelType w:val="hybridMultilevel"/>
    <w:tmpl w:val="BCDA9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326B4"/>
    <w:multiLevelType w:val="hybridMultilevel"/>
    <w:tmpl w:val="36A26AE0"/>
    <w:lvl w:ilvl="0" w:tplc="772671C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3140684">
    <w:abstractNumId w:val="2"/>
  </w:num>
  <w:num w:numId="2" w16cid:durableId="945773357">
    <w:abstractNumId w:val="0"/>
  </w:num>
  <w:num w:numId="3" w16cid:durableId="450587705">
    <w:abstractNumId w:val="4"/>
  </w:num>
  <w:num w:numId="4" w16cid:durableId="582647466">
    <w:abstractNumId w:val="3"/>
  </w:num>
  <w:num w:numId="5" w16cid:durableId="79259765">
    <w:abstractNumId w:val="1"/>
  </w:num>
  <w:num w:numId="6" w16cid:durableId="210457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BC"/>
    <w:rsid w:val="000236AE"/>
    <w:rsid w:val="000F6D40"/>
    <w:rsid w:val="001328AF"/>
    <w:rsid w:val="00136DD8"/>
    <w:rsid w:val="0015187E"/>
    <w:rsid w:val="001A2308"/>
    <w:rsid w:val="002315E3"/>
    <w:rsid w:val="00264485"/>
    <w:rsid w:val="00274293"/>
    <w:rsid w:val="00274A69"/>
    <w:rsid w:val="002C532B"/>
    <w:rsid w:val="002E26D4"/>
    <w:rsid w:val="002E6008"/>
    <w:rsid w:val="002E6BA1"/>
    <w:rsid w:val="00342B8A"/>
    <w:rsid w:val="00374D7D"/>
    <w:rsid w:val="00381F24"/>
    <w:rsid w:val="003A6B50"/>
    <w:rsid w:val="003C5A93"/>
    <w:rsid w:val="003D7580"/>
    <w:rsid w:val="003E07D2"/>
    <w:rsid w:val="00406E5B"/>
    <w:rsid w:val="004B6B76"/>
    <w:rsid w:val="004D75BA"/>
    <w:rsid w:val="00554B7E"/>
    <w:rsid w:val="00573D24"/>
    <w:rsid w:val="00577A42"/>
    <w:rsid w:val="0059151B"/>
    <w:rsid w:val="005963E1"/>
    <w:rsid w:val="005D1FA5"/>
    <w:rsid w:val="005F7941"/>
    <w:rsid w:val="00650E54"/>
    <w:rsid w:val="0067211C"/>
    <w:rsid w:val="00681D84"/>
    <w:rsid w:val="00682AD3"/>
    <w:rsid w:val="00686FBC"/>
    <w:rsid w:val="006B1F2F"/>
    <w:rsid w:val="006C6C7C"/>
    <w:rsid w:val="006F4DA9"/>
    <w:rsid w:val="00712AA4"/>
    <w:rsid w:val="0071666D"/>
    <w:rsid w:val="00747113"/>
    <w:rsid w:val="007A60A0"/>
    <w:rsid w:val="007D16A0"/>
    <w:rsid w:val="007E167C"/>
    <w:rsid w:val="00824B69"/>
    <w:rsid w:val="00846A81"/>
    <w:rsid w:val="008E7569"/>
    <w:rsid w:val="00903E68"/>
    <w:rsid w:val="0091415B"/>
    <w:rsid w:val="00A3176B"/>
    <w:rsid w:val="00A36DC1"/>
    <w:rsid w:val="00A92B64"/>
    <w:rsid w:val="00AD3608"/>
    <w:rsid w:val="00AE13C8"/>
    <w:rsid w:val="00B05CD6"/>
    <w:rsid w:val="00B5071F"/>
    <w:rsid w:val="00B60A32"/>
    <w:rsid w:val="00B700E9"/>
    <w:rsid w:val="00BA4EA5"/>
    <w:rsid w:val="00BB21E7"/>
    <w:rsid w:val="00C85C94"/>
    <w:rsid w:val="00CA73CD"/>
    <w:rsid w:val="00CB085B"/>
    <w:rsid w:val="00CF2439"/>
    <w:rsid w:val="00D12DA1"/>
    <w:rsid w:val="00D64810"/>
    <w:rsid w:val="00E0247D"/>
    <w:rsid w:val="00E058D4"/>
    <w:rsid w:val="00E13271"/>
    <w:rsid w:val="00E15838"/>
    <w:rsid w:val="00E524E5"/>
    <w:rsid w:val="00E537E9"/>
    <w:rsid w:val="00E62C59"/>
    <w:rsid w:val="00EA1111"/>
    <w:rsid w:val="00F35721"/>
    <w:rsid w:val="00F973A8"/>
    <w:rsid w:val="00FA3964"/>
    <w:rsid w:val="00FB46DF"/>
    <w:rsid w:val="00FB775F"/>
    <w:rsid w:val="00FF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2677"/>
  <w15:chartTrackingRefBased/>
  <w15:docId w15:val="{53DA7E74-9517-8B4A-9350-47A9351D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lang w:val="en-CA"/>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912A6C"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912A6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912A6C"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912A6C"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C33991"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C33991" w:themeColor="accent1"/>
        <w:bottom w:val="single" w:sz="4" w:space="10" w:color="C33991" w:themeColor="accent1"/>
      </w:pBdr>
      <w:spacing w:before="360" w:after="360"/>
      <w:ind w:left="864" w:right="864"/>
      <w:jc w:val="center"/>
    </w:pPr>
    <w:rPr>
      <w:i/>
      <w:iCs/>
      <w:color w:val="C33991" w:themeColor="accent1"/>
    </w:rPr>
  </w:style>
  <w:style w:type="character" w:customStyle="1" w:styleId="IntenseQuoteChar">
    <w:name w:val="Intense Quote Char"/>
    <w:basedOn w:val="DefaultParagraphFont"/>
    <w:link w:val="IntenseQuote"/>
    <w:uiPriority w:val="30"/>
    <w:rsid w:val="007E167C"/>
    <w:rPr>
      <w:rFonts w:ascii="Arial" w:hAnsi="Arial"/>
      <w:i/>
      <w:iCs/>
      <w:color w:val="C33991"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C33991"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577A42"/>
    <w:rPr>
      <w:color w:val="C33991" w:themeColor="hyperlink"/>
      <w:u w:val="single"/>
    </w:rPr>
  </w:style>
  <w:style w:type="character" w:customStyle="1" w:styleId="normaltextrun">
    <w:name w:val="normaltextrun"/>
    <w:basedOn w:val="DefaultParagraphFont"/>
    <w:rsid w:val="00577A42"/>
  </w:style>
  <w:style w:type="character" w:customStyle="1" w:styleId="eop">
    <w:name w:val="eop"/>
    <w:basedOn w:val="DefaultParagraphFont"/>
    <w:rsid w:val="00577A42"/>
  </w:style>
  <w:style w:type="paragraph" w:customStyle="1" w:styleId="paragraph">
    <w:name w:val="paragraph"/>
    <w:basedOn w:val="Normal"/>
    <w:rsid w:val="00577A4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973A8"/>
    <w:rPr>
      <w:color w:val="605E5C"/>
      <w:shd w:val="clear" w:color="auto" w:fill="E1DFDD"/>
    </w:rPr>
  </w:style>
  <w:style w:type="paragraph" w:styleId="Revision">
    <w:name w:val="Revision"/>
    <w:hidden/>
    <w:uiPriority w:val="99"/>
    <w:semiHidden/>
    <w:rsid w:val="00CB085B"/>
    <w:pPr>
      <w:spacing w:after="0" w:line="240" w:lineRule="auto"/>
    </w:pPr>
    <w:rPr>
      <w:rFonts w:ascii="Arial" w:hAnsi="Arial"/>
      <w:sz w:val="20"/>
      <w:lang w:val="en-CA"/>
    </w:rPr>
  </w:style>
  <w:style w:type="character" w:styleId="CommentReference">
    <w:name w:val="annotation reference"/>
    <w:basedOn w:val="DefaultParagraphFont"/>
    <w:uiPriority w:val="99"/>
    <w:semiHidden/>
    <w:unhideWhenUsed/>
    <w:rsid w:val="000F6D40"/>
    <w:rPr>
      <w:sz w:val="16"/>
      <w:szCs w:val="16"/>
    </w:rPr>
  </w:style>
  <w:style w:type="paragraph" w:styleId="CommentText">
    <w:name w:val="annotation text"/>
    <w:basedOn w:val="Normal"/>
    <w:link w:val="CommentTextChar"/>
    <w:uiPriority w:val="99"/>
    <w:unhideWhenUsed/>
    <w:rsid w:val="000F6D40"/>
    <w:pPr>
      <w:spacing w:line="240" w:lineRule="auto"/>
    </w:pPr>
    <w:rPr>
      <w:szCs w:val="20"/>
    </w:rPr>
  </w:style>
  <w:style w:type="character" w:customStyle="1" w:styleId="CommentTextChar">
    <w:name w:val="Comment Text Char"/>
    <w:basedOn w:val="DefaultParagraphFont"/>
    <w:link w:val="CommentText"/>
    <w:uiPriority w:val="99"/>
    <w:rsid w:val="000F6D40"/>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0F6D40"/>
    <w:rPr>
      <w:b/>
      <w:bCs/>
    </w:rPr>
  </w:style>
  <w:style w:type="character" w:customStyle="1" w:styleId="CommentSubjectChar">
    <w:name w:val="Comment Subject Char"/>
    <w:basedOn w:val="CommentTextChar"/>
    <w:link w:val="CommentSubject"/>
    <w:uiPriority w:val="99"/>
    <w:semiHidden/>
    <w:rsid w:val="000F6D40"/>
    <w:rPr>
      <w:rFonts w:ascii="Arial" w:hAnsi="Arial"/>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itablebank.ca/contac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bank.ca/personal-banking/investments/gic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bank.ca/personal-banking/investments/fhs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 Bank">
      <a:dk1>
        <a:sysClr val="windowText" lastClr="000000"/>
      </a:dk1>
      <a:lt1>
        <a:sysClr val="window" lastClr="FFFFFF"/>
      </a:lt1>
      <a:dk2>
        <a:srgbClr val="44546A"/>
      </a:dk2>
      <a:lt2>
        <a:srgbClr val="E7E6E6"/>
      </a:lt2>
      <a:accent1>
        <a:srgbClr val="C33991"/>
      </a:accent1>
      <a:accent2>
        <a:srgbClr val="FFCB31"/>
      </a:accent2>
      <a:accent3>
        <a:srgbClr val="EDEDED"/>
      </a:accent3>
      <a:accent4>
        <a:srgbClr val="7F7F7F"/>
      </a:accent4>
      <a:accent5>
        <a:srgbClr val="FFF2CC"/>
      </a:accent5>
      <a:accent6>
        <a:srgbClr val="70AD47"/>
      </a:accent6>
      <a:hlink>
        <a:srgbClr val="C3399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FDF4B2482D084CA88783F5AD545A53" ma:contentTypeVersion="9" ma:contentTypeDescription="Create a new document." ma:contentTypeScope="" ma:versionID="1987283dfc57f4c50ba9c5d7956a7cde">
  <xsd:schema xmlns:xsd="http://www.w3.org/2001/XMLSchema" xmlns:xs="http://www.w3.org/2001/XMLSchema" xmlns:p="http://schemas.microsoft.com/office/2006/metadata/properties" xmlns:ns2="55ea89a7-a432-4092-bf30-b96580d752a6" targetNamespace="http://schemas.microsoft.com/office/2006/metadata/properties" ma:root="true" ma:fieldsID="899bcf5883c066c951622a04b3abae87" ns2:_="">
    <xsd:import namespace="55ea89a7-a432-4092-bf30-b96580d752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a89a7-a432-4092-bf30-b96580d75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56981-BE1B-47C2-A6D9-33428169E885}">
  <ds:schemaRefs>
    <ds:schemaRef ds:uri="http://schemas.microsoft.com/sharepoint/v3/contenttype/forms"/>
  </ds:schemaRefs>
</ds:datastoreItem>
</file>

<file path=customXml/itemProps2.xml><?xml version="1.0" encoding="utf-8"?>
<ds:datastoreItem xmlns:ds="http://schemas.openxmlformats.org/officeDocument/2006/customXml" ds:itemID="{BE835334-42E2-4DB8-9252-FE3AE411F2CB}">
  <ds:schemaRefs>
    <ds:schemaRef ds:uri="http://schemas.openxmlformats.org/officeDocument/2006/bibliography"/>
  </ds:schemaRefs>
</ds:datastoreItem>
</file>

<file path=customXml/itemProps3.xml><?xml version="1.0" encoding="utf-8"?>
<ds:datastoreItem xmlns:ds="http://schemas.openxmlformats.org/officeDocument/2006/customXml" ds:itemID="{EB793A45-DBB0-46BD-BFC5-31A2CB214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a89a7-a432-4092-bf30-b96580d75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Derbowka</cp:lastModifiedBy>
  <cp:revision>2</cp:revision>
  <dcterms:created xsi:type="dcterms:W3CDTF">2023-08-31T21:18:00Z</dcterms:created>
  <dcterms:modified xsi:type="dcterms:W3CDTF">2023-08-31T21:18:00Z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0x01010058FDF4B2482D084CA88783F5AD545A53</vt:lpwstr>
  </property>
  <property fmtid="{D5CDD505-2E9C-101B-9397-08002B2CF9AE}" pid="3" name="MediaServiceImageTags">
    <vt:lpwstr/>
  </property>
</Properties>
</file>