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87A3F98A-E634-4106-9206-9E437A9C14B3}"/>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